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2CA9" w14:textId="0527A9C2" w:rsidR="007F7C9B" w:rsidRPr="00B45108" w:rsidRDefault="007F7C9B" w:rsidP="007F7C9B">
      <w:pPr>
        <w:spacing w:line="240" w:lineRule="auto"/>
        <w:jc w:val="center"/>
        <w:rPr>
          <w:rFonts w:cstheme="minorHAnsi"/>
          <w:sz w:val="24"/>
          <w:szCs w:val="24"/>
        </w:rPr>
      </w:pPr>
      <w:r w:rsidRPr="00B45108">
        <w:rPr>
          <w:rFonts w:cstheme="minorHAnsi"/>
          <w:b/>
          <w:bCs/>
          <w:sz w:val="24"/>
          <w:szCs w:val="24"/>
        </w:rPr>
        <w:t xml:space="preserve">Instructions </w:t>
      </w:r>
      <w:r>
        <w:rPr>
          <w:rFonts w:cstheme="minorHAnsi"/>
          <w:b/>
          <w:bCs/>
          <w:sz w:val="24"/>
          <w:szCs w:val="24"/>
        </w:rPr>
        <w:t xml:space="preserve">for Annual Report </w:t>
      </w:r>
      <w:proofErr w:type="gramStart"/>
      <w:r>
        <w:rPr>
          <w:rFonts w:cstheme="minorHAnsi"/>
          <w:b/>
          <w:bCs/>
          <w:sz w:val="24"/>
          <w:szCs w:val="24"/>
        </w:rPr>
        <w:t>of</w:t>
      </w:r>
      <w:proofErr w:type="gramEnd"/>
      <w:r>
        <w:rPr>
          <w:rFonts w:cstheme="minorHAnsi"/>
          <w:b/>
          <w:bCs/>
          <w:sz w:val="24"/>
          <w:szCs w:val="24"/>
        </w:rPr>
        <w:t xml:space="preserve"> Financial Terms of Call-202</w:t>
      </w:r>
      <w:r w:rsidR="009A1B86">
        <w:rPr>
          <w:rFonts w:cstheme="minorHAnsi"/>
          <w:b/>
          <w:bCs/>
          <w:sz w:val="24"/>
          <w:szCs w:val="24"/>
        </w:rPr>
        <w:t>6</w:t>
      </w:r>
    </w:p>
    <w:p w14:paraId="400C3FF0" w14:textId="77777777" w:rsidR="007F7C9B" w:rsidRPr="00B45108" w:rsidRDefault="007F7C9B" w:rsidP="007F7C9B">
      <w:pPr>
        <w:pStyle w:val="FootnoteText"/>
        <w:ind w:left="720"/>
        <w:rPr>
          <w:rFonts w:asciiTheme="minorHAnsi" w:hAnsiTheme="minorHAnsi" w:cstheme="minorHAnsi"/>
          <w:sz w:val="24"/>
          <w:szCs w:val="24"/>
        </w:rPr>
      </w:pPr>
    </w:p>
    <w:p w14:paraId="30FDAD49" w14:textId="191B54D9" w:rsidR="007F7C9B" w:rsidRPr="00B45108" w:rsidRDefault="007F7C9B" w:rsidP="007F7C9B">
      <w:pPr>
        <w:pStyle w:val="FootnoteText"/>
        <w:numPr>
          <w:ilvl w:val="0"/>
          <w:numId w:val="1"/>
        </w:numPr>
        <w:rPr>
          <w:rFonts w:asciiTheme="minorHAnsi" w:hAnsiTheme="minorHAnsi" w:cstheme="minorHAnsi"/>
          <w:sz w:val="24"/>
          <w:szCs w:val="24"/>
        </w:rPr>
      </w:pPr>
      <w:r w:rsidRPr="00B45108">
        <w:rPr>
          <w:rFonts w:asciiTheme="minorHAnsi" w:hAnsiTheme="minorHAnsi" w:cstheme="minorHAnsi"/>
          <w:b/>
          <w:bCs/>
          <w:sz w:val="24"/>
          <w:szCs w:val="24"/>
        </w:rPr>
        <w:t>Base Cash Salary</w:t>
      </w:r>
      <w:r w:rsidRPr="00B45108">
        <w:rPr>
          <w:rFonts w:asciiTheme="minorHAnsi" w:hAnsiTheme="minorHAnsi" w:cstheme="minorHAnsi"/>
          <w:sz w:val="24"/>
          <w:szCs w:val="24"/>
        </w:rPr>
        <w:t>- Does not include the 50% SECA reimbursement.</w:t>
      </w:r>
      <w:r>
        <w:rPr>
          <w:rFonts w:asciiTheme="minorHAnsi" w:hAnsiTheme="minorHAnsi" w:cstheme="minorHAnsi"/>
          <w:sz w:val="24"/>
          <w:szCs w:val="24"/>
        </w:rPr>
        <w:t xml:space="preserve">  COM Proposed </w:t>
      </w:r>
      <w:r w:rsidR="00C65601">
        <w:rPr>
          <w:rFonts w:asciiTheme="minorHAnsi" w:hAnsiTheme="minorHAnsi" w:cstheme="minorHAnsi"/>
          <w:sz w:val="24"/>
          <w:szCs w:val="24"/>
        </w:rPr>
        <w:t xml:space="preserve">cost of living </w:t>
      </w:r>
      <w:r>
        <w:rPr>
          <w:rFonts w:asciiTheme="minorHAnsi" w:hAnsiTheme="minorHAnsi" w:cstheme="minorHAnsi"/>
          <w:sz w:val="24"/>
          <w:szCs w:val="24"/>
        </w:rPr>
        <w:t xml:space="preserve"> increase is </w:t>
      </w:r>
      <w:r w:rsidR="00C65601">
        <w:rPr>
          <w:rFonts w:asciiTheme="minorHAnsi" w:hAnsiTheme="minorHAnsi" w:cstheme="minorHAnsi"/>
          <w:sz w:val="24"/>
          <w:szCs w:val="24"/>
        </w:rPr>
        <w:t>3</w:t>
      </w:r>
      <w:r>
        <w:rPr>
          <w:rFonts w:asciiTheme="minorHAnsi" w:hAnsiTheme="minorHAnsi" w:cstheme="minorHAnsi"/>
          <w:sz w:val="24"/>
          <w:szCs w:val="24"/>
        </w:rPr>
        <w:t>%.</w:t>
      </w:r>
    </w:p>
    <w:p w14:paraId="0EED8DDC" w14:textId="77777777" w:rsidR="007F7C9B" w:rsidRPr="00B45108" w:rsidRDefault="007F7C9B" w:rsidP="007F7C9B">
      <w:pPr>
        <w:pStyle w:val="FootnoteText"/>
        <w:ind w:left="720"/>
        <w:rPr>
          <w:rFonts w:asciiTheme="minorHAnsi" w:hAnsiTheme="minorHAnsi" w:cstheme="minorHAnsi"/>
          <w:sz w:val="24"/>
          <w:szCs w:val="24"/>
        </w:rPr>
      </w:pPr>
    </w:p>
    <w:p w14:paraId="4A67D736" w14:textId="77777777" w:rsidR="007F7C9B" w:rsidRPr="00B45108" w:rsidRDefault="007F7C9B" w:rsidP="007F7C9B">
      <w:pPr>
        <w:pStyle w:val="FootnoteText"/>
        <w:numPr>
          <w:ilvl w:val="0"/>
          <w:numId w:val="1"/>
        </w:numPr>
        <w:rPr>
          <w:rFonts w:asciiTheme="minorHAnsi" w:hAnsiTheme="minorHAnsi" w:cstheme="minorHAnsi"/>
          <w:sz w:val="24"/>
          <w:szCs w:val="24"/>
        </w:rPr>
      </w:pPr>
      <w:r w:rsidRPr="00B45108">
        <w:rPr>
          <w:rFonts w:asciiTheme="minorHAnsi" w:hAnsiTheme="minorHAnsi" w:cstheme="minorHAnsi"/>
          <w:b/>
          <w:bCs/>
          <w:sz w:val="24"/>
          <w:szCs w:val="24"/>
        </w:rPr>
        <w:t>Manse Rental Value</w:t>
      </w:r>
      <w:r w:rsidRPr="00B45108">
        <w:rPr>
          <w:rFonts w:asciiTheme="minorHAnsi" w:hAnsiTheme="minorHAnsi" w:cstheme="minorHAnsi"/>
          <w:sz w:val="24"/>
          <w:szCs w:val="24"/>
        </w:rPr>
        <w:t xml:space="preserve">- is 30% of the Base Cash Salary, </w:t>
      </w:r>
      <w:r w:rsidRPr="00B45108">
        <w:rPr>
          <w:rFonts w:asciiTheme="minorHAnsi" w:hAnsiTheme="minorHAnsi" w:cstheme="minorHAnsi"/>
          <w:b/>
          <w:bCs/>
          <w:sz w:val="24"/>
          <w:szCs w:val="24"/>
        </w:rPr>
        <w:t>plus Equity Escrow</w:t>
      </w:r>
      <w:r w:rsidRPr="00B45108">
        <w:rPr>
          <w:rFonts w:asciiTheme="minorHAnsi" w:hAnsiTheme="minorHAnsi" w:cstheme="minorHAnsi"/>
          <w:sz w:val="24"/>
          <w:szCs w:val="24"/>
        </w:rPr>
        <w:t xml:space="preserve"> and other compensation, if provided.</w:t>
      </w:r>
    </w:p>
    <w:p w14:paraId="0CB8057E" w14:textId="77777777" w:rsidR="007F7C9B" w:rsidRPr="00B45108" w:rsidRDefault="007F7C9B" w:rsidP="007F7C9B">
      <w:pPr>
        <w:pStyle w:val="FootnoteText"/>
        <w:rPr>
          <w:rFonts w:asciiTheme="minorHAnsi" w:hAnsiTheme="minorHAnsi" w:cstheme="minorHAnsi"/>
          <w:sz w:val="24"/>
          <w:szCs w:val="24"/>
        </w:rPr>
      </w:pPr>
    </w:p>
    <w:p w14:paraId="0AB76235" w14:textId="34056A2F" w:rsidR="007F7C9B" w:rsidRPr="00B45108" w:rsidRDefault="007F7C9B" w:rsidP="007F7C9B">
      <w:pPr>
        <w:pStyle w:val="FootnoteText"/>
        <w:numPr>
          <w:ilvl w:val="0"/>
          <w:numId w:val="1"/>
        </w:numPr>
        <w:rPr>
          <w:rFonts w:asciiTheme="minorHAnsi" w:hAnsiTheme="minorHAnsi" w:cstheme="minorHAnsi"/>
          <w:sz w:val="24"/>
          <w:szCs w:val="24"/>
        </w:rPr>
      </w:pPr>
      <w:r w:rsidRPr="00B45108">
        <w:rPr>
          <w:rFonts w:asciiTheme="minorHAnsi" w:hAnsiTheme="minorHAnsi" w:cstheme="minorHAnsi"/>
          <w:b/>
          <w:bCs/>
          <w:sz w:val="24"/>
          <w:szCs w:val="24"/>
        </w:rPr>
        <w:t>Housing Allowance</w:t>
      </w:r>
      <w:r w:rsidRPr="00B45108">
        <w:rPr>
          <w:rFonts w:asciiTheme="minorHAnsi" w:hAnsiTheme="minorHAnsi" w:cstheme="minorHAnsi"/>
          <w:sz w:val="24"/>
          <w:szCs w:val="24"/>
        </w:rPr>
        <w:t xml:space="preserve">-May not exceed the fair rental value of the home plus furnishings and utilities.  The minimum suggested amount is $12,000 including utilities.  To satisfy IRS requirements, minister housing allowance for the next year should be approved by the Session at the </w:t>
      </w:r>
      <w:r>
        <w:rPr>
          <w:rFonts w:asciiTheme="minorHAnsi" w:hAnsiTheme="minorHAnsi" w:cstheme="minorHAnsi"/>
          <w:sz w:val="24"/>
          <w:szCs w:val="24"/>
        </w:rPr>
        <w:t>November/December Session meeting (i.e. 202</w:t>
      </w:r>
      <w:r w:rsidR="009A1B86">
        <w:rPr>
          <w:rFonts w:asciiTheme="minorHAnsi" w:hAnsiTheme="minorHAnsi" w:cstheme="minorHAnsi"/>
          <w:sz w:val="24"/>
          <w:szCs w:val="24"/>
        </w:rPr>
        <w:t>6</w:t>
      </w:r>
      <w:r>
        <w:rPr>
          <w:rFonts w:asciiTheme="minorHAnsi" w:hAnsiTheme="minorHAnsi" w:cstheme="minorHAnsi"/>
          <w:sz w:val="24"/>
          <w:szCs w:val="24"/>
        </w:rPr>
        <w:t xml:space="preserve"> housing should be approved at November/December 202</w:t>
      </w:r>
      <w:r w:rsidR="009A1B86">
        <w:rPr>
          <w:rFonts w:asciiTheme="minorHAnsi" w:hAnsiTheme="minorHAnsi" w:cstheme="minorHAnsi"/>
          <w:sz w:val="24"/>
          <w:szCs w:val="24"/>
        </w:rPr>
        <w:t>5</w:t>
      </w:r>
      <w:r>
        <w:rPr>
          <w:rFonts w:asciiTheme="minorHAnsi" w:hAnsiTheme="minorHAnsi" w:cstheme="minorHAnsi"/>
          <w:sz w:val="24"/>
          <w:szCs w:val="24"/>
        </w:rPr>
        <w:t xml:space="preserve"> session meeting).</w:t>
      </w:r>
    </w:p>
    <w:p w14:paraId="383F3DE8" w14:textId="77777777" w:rsidR="007F7C9B" w:rsidRPr="00B45108" w:rsidRDefault="007F7C9B" w:rsidP="007F7C9B">
      <w:pPr>
        <w:pStyle w:val="FootnoteText"/>
        <w:rPr>
          <w:rFonts w:asciiTheme="minorHAnsi" w:hAnsiTheme="minorHAnsi" w:cstheme="minorHAnsi"/>
          <w:sz w:val="24"/>
          <w:szCs w:val="24"/>
        </w:rPr>
      </w:pPr>
    </w:p>
    <w:p w14:paraId="6D36BF07" w14:textId="77777777" w:rsidR="007F7C9B" w:rsidRPr="00B45108" w:rsidRDefault="007F7C9B" w:rsidP="007F7C9B">
      <w:pPr>
        <w:pStyle w:val="FootnoteText"/>
        <w:numPr>
          <w:ilvl w:val="0"/>
          <w:numId w:val="1"/>
        </w:numPr>
        <w:rPr>
          <w:rFonts w:asciiTheme="minorHAnsi" w:hAnsiTheme="minorHAnsi" w:cstheme="minorHAnsi"/>
          <w:sz w:val="24"/>
          <w:szCs w:val="24"/>
        </w:rPr>
      </w:pPr>
      <w:r w:rsidRPr="00B45108">
        <w:rPr>
          <w:rFonts w:asciiTheme="minorHAnsi" w:hAnsiTheme="minorHAnsi" w:cstheme="minorHAnsi"/>
          <w:b/>
          <w:bCs/>
          <w:sz w:val="24"/>
          <w:szCs w:val="24"/>
        </w:rPr>
        <w:t>Utility and Furnishing Allowance</w:t>
      </w:r>
      <w:r w:rsidRPr="00B45108">
        <w:rPr>
          <w:rFonts w:asciiTheme="minorHAnsi" w:hAnsiTheme="minorHAnsi" w:cstheme="minorHAnsi"/>
          <w:sz w:val="24"/>
          <w:szCs w:val="24"/>
        </w:rPr>
        <w:t>-If the church pays the minister an annual allowance for utilities, this amount should be reflected as a utility allo</w:t>
      </w:r>
      <w:r>
        <w:rPr>
          <w:rFonts w:asciiTheme="minorHAnsi" w:hAnsiTheme="minorHAnsi" w:cstheme="minorHAnsi"/>
          <w:sz w:val="24"/>
          <w:szCs w:val="24"/>
        </w:rPr>
        <w:t>w</w:t>
      </w:r>
      <w:r w:rsidRPr="00B45108">
        <w:rPr>
          <w:rFonts w:asciiTheme="minorHAnsi" w:hAnsiTheme="minorHAnsi" w:cstheme="minorHAnsi"/>
          <w:sz w:val="24"/>
          <w:szCs w:val="24"/>
        </w:rPr>
        <w:t>ance on line 4.  It the utilities are maintained in the church’s name and paid directly by the church, do not put a dollar amount on line 4.</w:t>
      </w:r>
    </w:p>
    <w:p w14:paraId="684B4FE6" w14:textId="77777777" w:rsidR="007F7C9B" w:rsidRPr="00B45108" w:rsidRDefault="007F7C9B" w:rsidP="007F7C9B">
      <w:pPr>
        <w:pStyle w:val="NoSpacing"/>
        <w:rPr>
          <w:rFonts w:cstheme="minorHAnsi"/>
        </w:rPr>
      </w:pPr>
    </w:p>
    <w:p w14:paraId="2C451B2C" w14:textId="77777777" w:rsidR="007F7C9B" w:rsidRPr="00B45108" w:rsidRDefault="007F7C9B" w:rsidP="007F7C9B">
      <w:pPr>
        <w:pStyle w:val="FootnoteText"/>
        <w:numPr>
          <w:ilvl w:val="0"/>
          <w:numId w:val="1"/>
        </w:numPr>
        <w:rPr>
          <w:rFonts w:asciiTheme="minorHAnsi" w:hAnsiTheme="minorHAnsi" w:cstheme="minorHAnsi"/>
          <w:sz w:val="24"/>
          <w:szCs w:val="24"/>
        </w:rPr>
      </w:pPr>
      <w:r w:rsidRPr="00B45108">
        <w:rPr>
          <w:rFonts w:asciiTheme="minorHAnsi" w:hAnsiTheme="minorHAnsi" w:cstheme="minorHAnsi"/>
          <w:b/>
          <w:bCs/>
          <w:sz w:val="24"/>
          <w:szCs w:val="24"/>
        </w:rPr>
        <w:t>Other Compensation-</w:t>
      </w:r>
      <w:r w:rsidRPr="00B45108">
        <w:rPr>
          <w:rFonts w:asciiTheme="minorHAnsi" w:hAnsiTheme="minorHAnsi" w:cstheme="minorHAnsi"/>
          <w:sz w:val="24"/>
          <w:szCs w:val="24"/>
        </w:rPr>
        <w:t xml:space="preserve"> Include items such as Social Security reimbursements for </w:t>
      </w:r>
      <w:r w:rsidRPr="00B45108">
        <w:rPr>
          <w:rFonts w:asciiTheme="minorHAnsi" w:hAnsiTheme="minorHAnsi" w:cstheme="minorHAnsi"/>
          <w:b/>
          <w:bCs/>
          <w:sz w:val="24"/>
          <w:szCs w:val="24"/>
        </w:rPr>
        <w:t>more than</w:t>
      </w:r>
      <w:r w:rsidRPr="00B45108">
        <w:rPr>
          <w:rFonts w:asciiTheme="minorHAnsi" w:hAnsiTheme="minorHAnsi" w:cstheme="minorHAnsi"/>
          <w:sz w:val="24"/>
          <w:szCs w:val="24"/>
        </w:rPr>
        <w:t xml:space="preserve"> 7.65% share of the social security obligation.  Cell phone allowances, if a nonaccountable plan are included as other compensation</w:t>
      </w:r>
      <w:r>
        <w:rPr>
          <w:rFonts w:asciiTheme="minorHAnsi" w:hAnsiTheme="minorHAnsi" w:cstheme="minorHAnsi"/>
          <w:sz w:val="24"/>
          <w:szCs w:val="24"/>
        </w:rPr>
        <w:t xml:space="preserve">, as well as </w:t>
      </w:r>
      <w:r w:rsidRPr="00B45108">
        <w:rPr>
          <w:rFonts w:asciiTheme="minorHAnsi" w:hAnsiTheme="minorHAnsi" w:cstheme="minorHAnsi"/>
          <w:sz w:val="24"/>
          <w:szCs w:val="24"/>
        </w:rPr>
        <w:t xml:space="preserve">403(b) contributions by the church, if not a part of a matching contribution to the voluntary RSP program. </w:t>
      </w:r>
    </w:p>
    <w:p w14:paraId="7230410C" w14:textId="77777777" w:rsidR="007F7C9B" w:rsidRPr="00B45108" w:rsidRDefault="007F7C9B" w:rsidP="007F7C9B">
      <w:pPr>
        <w:pStyle w:val="ListParagraph"/>
        <w:rPr>
          <w:rFonts w:cstheme="minorHAnsi"/>
          <w:sz w:val="24"/>
          <w:szCs w:val="24"/>
        </w:rPr>
      </w:pPr>
    </w:p>
    <w:p w14:paraId="403C4FF0" w14:textId="77777777" w:rsidR="007F7C9B" w:rsidRPr="00B45108" w:rsidRDefault="007F7C9B" w:rsidP="007F7C9B">
      <w:pPr>
        <w:pStyle w:val="FootnoteText"/>
        <w:ind w:left="720"/>
        <w:rPr>
          <w:rFonts w:asciiTheme="minorHAnsi" w:hAnsiTheme="minorHAnsi" w:cstheme="minorHAnsi"/>
          <w:sz w:val="24"/>
          <w:szCs w:val="24"/>
        </w:rPr>
      </w:pPr>
      <w:r w:rsidRPr="00B45108">
        <w:rPr>
          <w:rFonts w:asciiTheme="minorHAnsi" w:hAnsiTheme="minorHAnsi" w:cstheme="minorHAnsi"/>
          <w:sz w:val="24"/>
          <w:szCs w:val="24"/>
        </w:rPr>
        <w:t xml:space="preserve">Dental and vision eyewear </w:t>
      </w:r>
      <w:r w:rsidRPr="00B45108">
        <w:rPr>
          <w:rFonts w:asciiTheme="minorHAnsi" w:hAnsiTheme="minorHAnsi" w:cstheme="minorHAnsi"/>
          <w:b/>
          <w:bCs/>
          <w:sz w:val="24"/>
          <w:szCs w:val="24"/>
        </w:rPr>
        <w:t>would not be included</w:t>
      </w:r>
      <w:r w:rsidRPr="00B45108">
        <w:rPr>
          <w:rFonts w:asciiTheme="minorHAnsi" w:hAnsiTheme="minorHAnsi" w:cstheme="minorHAnsi"/>
          <w:sz w:val="24"/>
          <w:szCs w:val="24"/>
        </w:rPr>
        <w:t xml:space="preserve"> if paid by the church for all employees in the Employer Group that includes the minister under the Board of Pension Employer Agreement.  </w:t>
      </w:r>
    </w:p>
    <w:p w14:paraId="64D37749" w14:textId="77777777" w:rsidR="007F7C9B" w:rsidRPr="00B45108" w:rsidRDefault="007F7C9B" w:rsidP="007F7C9B">
      <w:pPr>
        <w:pStyle w:val="ListParagraph"/>
        <w:rPr>
          <w:rFonts w:cstheme="minorHAnsi"/>
          <w:sz w:val="24"/>
          <w:szCs w:val="24"/>
        </w:rPr>
      </w:pPr>
    </w:p>
    <w:p w14:paraId="1F942834" w14:textId="77777777" w:rsidR="007F7C9B" w:rsidRPr="00B45108" w:rsidRDefault="007F7C9B" w:rsidP="007F7C9B">
      <w:pPr>
        <w:pStyle w:val="FootnoteText"/>
        <w:numPr>
          <w:ilvl w:val="0"/>
          <w:numId w:val="1"/>
        </w:numPr>
        <w:rPr>
          <w:rFonts w:asciiTheme="minorHAnsi" w:hAnsiTheme="minorHAnsi" w:cstheme="minorHAnsi"/>
          <w:sz w:val="24"/>
          <w:szCs w:val="24"/>
        </w:rPr>
      </w:pPr>
      <w:r w:rsidRPr="00B45108">
        <w:rPr>
          <w:rFonts w:asciiTheme="minorHAnsi" w:hAnsiTheme="minorHAnsi" w:cstheme="minorHAnsi"/>
          <w:b/>
          <w:bCs/>
          <w:sz w:val="24"/>
          <w:szCs w:val="24"/>
        </w:rPr>
        <w:t>Shared Housing Equity Escrow</w:t>
      </w:r>
      <w:r w:rsidRPr="00B45108">
        <w:rPr>
          <w:rFonts w:asciiTheme="minorHAnsi" w:hAnsiTheme="minorHAnsi" w:cstheme="minorHAnsi"/>
          <w:sz w:val="24"/>
          <w:szCs w:val="24"/>
        </w:rPr>
        <w:t xml:space="preserve"> The purpose of t</w:t>
      </w:r>
      <w:r>
        <w:rPr>
          <w:rFonts w:asciiTheme="minorHAnsi" w:hAnsiTheme="minorHAnsi" w:cstheme="minorHAnsi"/>
          <w:sz w:val="24"/>
          <w:szCs w:val="24"/>
        </w:rPr>
        <w:t>he</w:t>
      </w:r>
      <w:r w:rsidRPr="00B45108">
        <w:rPr>
          <w:rFonts w:asciiTheme="minorHAnsi" w:hAnsiTheme="minorHAnsi" w:cstheme="minorHAnsi"/>
          <w:sz w:val="24"/>
          <w:szCs w:val="24"/>
        </w:rPr>
        <w:t xml:space="preserve"> shared housing equity is to compensate ministers living in a manse for the loss in equity appreciation they would otherwise realize as homeowners. </w:t>
      </w:r>
      <w:r w:rsidRPr="00B45108">
        <w:rPr>
          <w:rFonts w:asciiTheme="minorHAnsi" w:hAnsiTheme="minorHAnsi" w:cstheme="minorHAnsi"/>
          <w:b/>
          <w:bCs/>
          <w:sz w:val="24"/>
          <w:szCs w:val="24"/>
        </w:rPr>
        <w:t>This amount is included in effective salary.  The Presbytery minimum required is $1,200 per year.</w:t>
      </w:r>
    </w:p>
    <w:p w14:paraId="11D70FF6" w14:textId="77777777" w:rsidR="007F7C9B" w:rsidRPr="00B45108" w:rsidRDefault="007F7C9B" w:rsidP="007F7C9B">
      <w:pPr>
        <w:pStyle w:val="FootnoteText"/>
        <w:ind w:left="720"/>
        <w:rPr>
          <w:rFonts w:asciiTheme="minorHAnsi" w:hAnsiTheme="minorHAnsi" w:cstheme="minorHAnsi"/>
          <w:sz w:val="24"/>
          <w:szCs w:val="24"/>
        </w:rPr>
      </w:pPr>
    </w:p>
    <w:p w14:paraId="028C0545" w14:textId="435B091E" w:rsidR="007F7C9B" w:rsidRPr="009A1B86" w:rsidRDefault="007F7C9B" w:rsidP="009A1B86">
      <w:pPr>
        <w:pStyle w:val="FootnoteText"/>
        <w:numPr>
          <w:ilvl w:val="0"/>
          <w:numId w:val="1"/>
        </w:numPr>
        <w:rPr>
          <w:rFonts w:asciiTheme="minorHAnsi" w:hAnsiTheme="minorHAnsi" w:cstheme="minorHAnsi"/>
          <w:sz w:val="24"/>
          <w:szCs w:val="24"/>
        </w:rPr>
      </w:pPr>
      <w:r w:rsidRPr="00B45108">
        <w:rPr>
          <w:rFonts w:asciiTheme="minorHAnsi" w:hAnsiTheme="minorHAnsi" w:cstheme="minorHAnsi"/>
          <w:b/>
          <w:bCs/>
          <w:sz w:val="24"/>
          <w:szCs w:val="24"/>
        </w:rPr>
        <w:t>Effective Salary</w:t>
      </w:r>
      <w:r w:rsidRPr="00B45108">
        <w:rPr>
          <w:rFonts w:asciiTheme="minorHAnsi" w:hAnsiTheme="minorHAnsi" w:cstheme="minorHAnsi"/>
          <w:sz w:val="24"/>
          <w:szCs w:val="24"/>
        </w:rPr>
        <w:t xml:space="preserve">-Effective salary is any compensation paid to a minister by the church that is subject to Board of Pensions dues.  </w:t>
      </w:r>
      <w:r w:rsidRPr="00B45108">
        <w:rPr>
          <w:rFonts w:asciiTheme="minorHAnsi" w:hAnsiTheme="minorHAnsi" w:cstheme="minorHAnsi"/>
          <w:b/>
          <w:bCs/>
          <w:sz w:val="24"/>
          <w:szCs w:val="24"/>
        </w:rPr>
        <w:t>(Note:  Effective salary does not include the Social Security Reimbursement of 7.65%)</w:t>
      </w:r>
      <w:r w:rsidRPr="00B45108">
        <w:rPr>
          <w:rFonts w:asciiTheme="minorHAnsi" w:hAnsiTheme="minorHAnsi" w:cstheme="minorHAnsi"/>
          <w:sz w:val="24"/>
          <w:szCs w:val="24"/>
        </w:rPr>
        <w:t xml:space="preserve">  See page 3 for a list of common examples of compensation.  For a complete listing visi</w:t>
      </w:r>
      <w:r>
        <w:rPr>
          <w:rFonts w:asciiTheme="minorHAnsi" w:hAnsiTheme="minorHAnsi" w:cstheme="minorHAnsi"/>
          <w:sz w:val="24"/>
          <w:szCs w:val="24"/>
        </w:rPr>
        <w:t>t</w:t>
      </w:r>
      <w:r w:rsidRPr="00B45108">
        <w:rPr>
          <w:rFonts w:asciiTheme="minorHAnsi" w:hAnsiTheme="minorHAnsi" w:cstheme="minorHAnsi"/>
          <w:sz w:val="24"/>
          <w:szCs w:val="24"/>
        </w:rPr>
        <w:t xml:space="preserve"> the Board of Pensions website at </w:t>
      </w:r>
      <w:hyperlink r:id="rId5" w:history="1">
        <w:r w:rsidR="009A1B86" w:rsidRPr="00875F09">
          <w:rPr>
            <w:rStyle w:val="Hyperlink"/>
            <w:rFonts w:asciiTheme="minorHAnsi" w:hAnsiTheme="minorHAnsi" w:cstheme="minorHAnsi"/>
            <w:sz w:val="24"/>
            <w:szCs w:val="24"/>
          </w:rPr>
          <w:t>www.pensions.org</w:t>
        </w:r>
      </w:hyperlink>
      <w:r w:rsidR="009A1B86">
        <w:rPr>
          <w:rFonts w:asciiTheme="minorHAnsi" w:hAnsiTheme="minorHAnsi" w:cstheme="minorHAnsi"/>
          <w:sz w:val="24"/>
          <w:szCs w:val="24"/>
        </w:rPr>
        <w:t xml:space="preserve"> </w:t>
      </w:r>
      <w:r w:rsidRPr="009A1B86">
        <w:rPr>
          <w:rFonts w:asciiTheme="minorHAnsi" w:hAnsiTheme="minorHAnsi" w:cstheme="minorHAnsi"/>
          <w:sz w:val="24"/>
          <w:szCs w:val="24"/>
        </w:rPr>
        <w:t>and view the copy of the Understanding Effective Salary booklet.</w:t>
      </w:r>
    </w:p>
    <w:p w14:paraId="50B2E4AF" w14:textId="77777777" w:rsidR="007F7C9B" w:rsidRPr="00B45108" w:rsidRDefault="007F7C9B" w:rsidP="007F7C9B">
      <w:pPr>
        <w:pStyle w:val="FootnoteText"/>
        <w:rPr>
          <w:rFonts w:asciiTheme="minorHAnsi" w:hAnsiTheme="minorHAnsi" w:cstheme="minorHAnsi"/>
          <w:sz w:val="24"/>
          <w:szCs w:val="24"/>
        </w:rPr>
      </w:pPr>
    </w:p>
    <w:p w14:paraId="79FBE564" w14:textId="77777777" w:rsidR="007F7C9B" w:rsidRPr="00B45108" w:rsidRDefault="007F7C9B" w:rsidP="007F7C9B">
      <w:pPr>
        <w:pStyle w:val="FootnoteText"/>
        <w:numPr>
          <w:ilvl w:val="0"/>
          <w:numId w:val="1"/>
        </w:numPr>
        <w:rPr>
          <w:rFonts w:asciiTheme="minorHAnsi" w:hAnsiTheme="minorHAnsi" w:cstheme="minorHAnsi"/>
          <w:b/>
          <w:bCs/>
          <w:sz w:val="24"/>
          <w:szCs w:val="24"/>
        </w:rPr>
      </w:pPr>
      <w:r w:rsidRPr="00B45108">
        <w:rPr>
          <w:rFonts w:asciiTheme="minorHAnsi" w:hAnsiTheme="minorHAnsi" w:cstheme="minorHAnsi"/>
          <w:b/>
          <w:bCs/>
          <w:sz w:val="24"/>
          <w:szCs w:val="24"/>
        </w:rPr>
        <w:lastRenderedPageBreak/>
        <w:t>Social Security Reimbursement 7.65%-</w:t>
      </w:r>
      <w:r w:rsidRPr="00B45108">
        <w:rPr>
          <w:rFonts w:asciiTheme="minorHAnsi" w:hAnsiTheme="minorHAnsi" w:cstheme="minorHAnsi"/>
          <w:sz w:val="24"/>
          <w:szCs w:val="24"/>
        </w:rPr>
        <w:t xml:space="preserve"> The purpose of the Social Security allowance is to provide ministers with the Church’s share (7.65%) of their self employment tax.  The Social Security allowance is calculated at a rate of 7.65% of the total Effective Salary reported on line 7 and includes annual cash salary, the value of the manse, utilities allowance, housing allowance, other compensation and shared housing equity.  </w:t>
      </w:r>
      <w:r w:rsidRPr="00B45108">
        <w:rPr>
          <w:rFonts w:asciiTheme="minorHAnsi" w:hAnsiTheme="minorHAnsi" w:cstheme="minorHAnsi"/>
          <w:b/>
          <w:bCs/>
          <w:sz w:val="24"/>
          <w:szCs w:val="24"/>
        </w:rPr>
        <w:t>The amount on line 8 is not included in effective salary.</w:t>
      </w:r>
    </w:p>
    <w:p w14:paraId="4F9C19AC" w14:textId="77777777" w:rsidR="007F7C9B" w:rsidRPr="00B45108" w:rsidRDefault="007F7C9B" w:rsidP="007F7C9B">
      <w:pPr>
        <w:pStyle w:val="FootnoteText"/>
        <w:rPr>
          <w:rFonts w:asciiTheme="minorHAnsi" w:hAnsiTheme="minorHAnsi" w:cstheme="minorHAnsi"/>
          <w:sz w:val="24"/>
          <w:szCs w:val="24"/>
        </w:rPr>
      </w:pPr>
    </w:p>
    <w:p w14:paraId="3291CE80" w14:textId="36209C2D" w:rsidR="007F7C9B" w:rsidRDefault="007F7C9B" w:rsidP="007F7C9B">
      <w:pPr>
        <w:pStyle w:val="FootnoteText"/>
        <w:numPr>
          <w:ilvl w:val="0"/>
          <w:numId w:val="1"/>
        </w:numPr>
        <w:rPr>
          <w:rFonts w:asciiTheme="minorHAnsi" w:hAnsiTheme="minorHAnsi" w:cstheme="minorHAnsi"/>
          <w:b/>
          <w:bCs/>
          <w:sz w:val="24"/>
          <w:szCs w:val="24"/>
        </w:rPr>
      </w:pPr>
      <w:r w:rsidRPr="00B45108">
        <w:rPr>
          <w:rFonts w:asciiTheme="minorHAnsi" w:hAnsiTheme="minorHAnsi" w:cstheme="minorHAnsi"/>
          <w:b/>
          <w:bCs/>
          <w:sz w:val="24"/>
          <w:szCs w:val="24"/>
        </w:rPr>
        <w:t>Board of Pensions Basic Package</w:t>
      </w:r>
      <w:r w:rsidRPr="00B45108">
        <w:rPr>
          <w:rFonts w:asciiTheme="minorHAnsi" w:hAnsiTheme="minorHAnsi" w:cstheme="minorHAnsi"/>
          <w:sz w:val="24"/>
          <w:szCs w:val="24"/>
        </w:rPr>
        <w:t xml:space="preserve"> -The rate for the </w:t>
      </w:r>
      <w:r>
        <w:rPr>
          <w:rFonts w:asciiTheme="minorHAnsi" w:hAnsiTheme="minorHAnsi" w:cstheme="minorHAnsi"/>
          <w:sz w:val="24"/>
          <w:szCs w:val="24"/>
        </w:rPr>
        <w:t>Congregational</w:t>
      </w:r>
      <w:r w:rsidRPr="00B45108">
        <w:rPr>
          <w:rFonts w:asciiTheme="minorHAnsi" w:hAnsiTheme="minorHAnsi" w:cstheme="minorHAnsi"/>
          <w:sz w:val="24"/>
          <w:szCs w:val="24"/>
        </w:rPr>
        <w:t xml:space="preserve"> Pastors Participation plan in 202</w:t>
      </w:r>
      <w:r w:rsidR="009A1B86">
        <w:rPr>
          <w:rFonts w:asciiTheme="minorHAnsi" w:hAnsiTheme="minorHAnsi" w:cstheme="minorHAnsi"/>
          <w:sz w:val="24"/>
          <w:szCs w:val="24"/>
        </w:rPr>
        <w:t>6</w:t>
      </w:r>
      <w:r w:rsidRPr="00B45108">
        <w:rPr>
          <w:rFonts w:asciiTheme="minorHAnsi" w:hAnsiTheme="minorHAnsi" w:cstheme="minorHAnsi"/>
          <w:sz w:val="24"/>
          <w:szCs w:val="24"/>
        </w:rPr>
        <w:t xml:space="preserve"> is </w:t>
      </w:r>
      <w:r>
        <w:rPr>
          <w:rFonts w:asciiTheme="minorHAnsi" w:hAnsiTheme="minorHAnsi" w:cstheme="minorHAnsi"/>
          <w:b/>
          <w:bCs/>
          <w:sz w:val="24"/>
          <w:szCs w:val="24"/>
        </w:rPr>
        <w:t>2</w:t>
      </w:r>
      <w:r w:rsidR="009A1B86">
        <w:rPr>
          <w:rFonts w:asciiTheme="minorHAnsi" w:hAnsiTheme="minorHAnsi" w:cstheme="minorHAnsi"/>
          <w:b/>
          <w:bCs/>
          <w:sz w:val="24"/>
          <w:szCs w:val="24"/>
        </w:rPr>
        <w:t>7.5</w:t>
      </w:r>
      <w:r w:rsidRPr="0004778E">
        <w:rPr>
          <w:rFonts w:asciiTheme="minorHAnsi" w:hAnsiTheme="minorHAnsi" w:cstheme="minorHAnsi"/>
          <w:b/>
          <w:bCs/>
          <w:sz w:val="24"/>
          <w:szCs w:val="24"/>
        </w:rPr>
        <w:t>%</w:t>
      </w:r>
      <w:r w:rsidRPr="00B45108">
        <w:rPr>
          <w:rFonts w:asciiTheme="minorHAnsi" w:hAnsiTheme="minorHAnsi" w:cstheme="minorHAnsi"/>
          <w:sz w:val="24"/>
          <w:szCs w:val="24"/>
        </w:rPr>
        <w:t xml:space="preserve"> of effective salary.  The breakdown of the cost of coverage is:  Medical at </w:t>
      </w:r>
      <w:r>
        <w:rPr>
          <w:rFonts w:asciiTheme="minorHAnsi" w:hAnsiTheme="minorHAnsi" w:cstheme="minorHAnsi"/>
          <w:sz w:val="24"/>
          <w:szCs w:val="24"/>
        </w:rPr>
        <w:t>1</w:t>
      </w:r>
      <w:r w:rsidR="009A1B86">
        <w:rPr>
          <w:rFonts w:asciiTheme="minorHAnsi" w:hAnsiTheme="minorHAnsi" w:cstheme="minorHAnsi"/>
          <w:sz w:val="24"/>
          <w:szCs w:val="24"/>
        </w:rPr>
        <w:t>7.5</w:t>
      </w:r>
      <w:r w:rsidRPr="00B45108">
        <w:rPr>
          <w:rFonts w:asciiTheme="minorHAnsi" w:hAnsiTheme="minorHAnsi" w:cstheme="minorHAnsi"/>
          <w:sz w:val="24"/>
          <w:szCs w:val="24"/>
        </w:rPr>
        <w:t>% of effective salary, Pension at 8.5% of effective salary; Short Term Disability at .5% of effective salary and Long Term Disability and death at 1% of effective salary</w:t>
      </w:r>
      <w:bookmarkStart w:id="0" w:name="_Hlk52786281"/>
      <w:r w:rsidRPr="00B45108">
        <w:rPr>
          <w:rFonts w:asciiTheme="minorHAnsi" w:hAnsiTheme="minorHAnsi" w:cstheme="minorHAnsi"/>
          <w:b/>
          <w:bCs/>
          <w:sz w:val="24"/>
          <w:szCs w:val="24"/>
        </w:rPr>
        <w:t>.</w:t>
      </w:r>
      <w:r>
        <w:rPr>
          <w:rFonts w:asciiTheme="minorHAnsi" w:hAnsiTheme="minorHAnsi" w:cstheme="minorHAnsi"/>
          <w:b/>
          <w:bCs/>
          <w:sz w:val="24"/>
          <w:szCs w:val="24"/>
        </w:rPr>
        <w:t xml:space="preserve">  Medical coverage for the Pastor’s children, spouse or family is available at specified dollar amounts.</w:t>
      </w:r>
      <w:r w:rsidR="00035DD4">
        <w:rPr>
          <w:rFonts w:asciiTheme="minorHAnsi" w:hAnsiTheme="minorHAnsi" w:cstheme="minorHAnsi"/>
          <w:b/>
          <w:bCs/>
          <w:sz w:val="24"/>
          <w:szCs w:val="24"/>
        </w:rPr>
        <w:t xml:space="preserve"> </w:t>
      </w:r>
    </w:p>
    <w:p w14:paraId="4D3F96D8" w14:textId="77777777" w:rsidR="00035DD4" w:rsidRDefault="00035DD4" w:rsidP="00035DD4">
      <w:pPr>
        <w:pStyle w:val="ListParagraph"/>
        <w:rPr>
          <w:rFonts w:cstheme="minorHAnsi"/>
          <w:b/>
          <w:bCs/>
          <w:sz w:val="24"/>
          <w:szCs w:val="24"/>
        </w:rPr>
      </w:pPr>
    </w:p>
    <w:p w14:paraId="50EA72B6" w14:textId="74DA1034" w:rsidR="00035DD4" w:rsidRPr="00035DD4" w:rsidRDefault="00035DD4" w:rsidP="00035DD4">
      <w:pPr>
        <w:pStyle w:val="FootnoteText"/>
        <w:ind w:left="720"/>
        <w:rPr>
          <w:rFonts w:asciiTheme="minorHAnsi" w:hAnsiTheme="minorHAnsi" w:cstheme="minorHAnsi"/>
          <w:sz w:val="24"/>
          <w:szCs w:val="24"/>
        </w:rPr>
      </w:pPr>
      <w:r>
        <w:rPr>
          <w:rFonts w:asciiTheme="minorHAnsi" w:hAnsiTheme="minorHAnsi" w:cstheme="minorHAnsi"/>
          <w:sz w:val="24"/>
          <w:szCs w:val="24"/>
        </w:rPr>
        <w:t xml:space="preserve">The rate for the Transitional Pastors Package pin 2026 is </w:t>
      </w:r>
      <w:r>
        <w:rPr>
          <w:rFonts w:asciiTheme="minorHAnsi" w:hAnsiTheme="minorHAnsi" w:cstheme="minorHAnsi"/>
          <w:b/>
          <w:bCs/>
          <w:sz w:val="24"/>
          <w:szCs w:val="24"/>
        </w:rPr>
        <w:t>47%</w:t>
      </w:r>
      <w:r>
        <w:rPr>
          <w:rFonts w:asciiTheme="minorHAnsi" w:hAnsiTheme="minorHAnsi" w:cstheme="minorHAnsi"/>
          <w:sz w:val="24"/>
          <w:szCs w:val="24"/>
        </w:rPr>
        <w:t xml:space="preserve"> of effective salary. The breakdown of cost is:  </w:t>
      </w:r>
      <w:r w:rsidRPr="00B45108">
        <w:rPr>
          <w:rFonts w:asciiTheme="minorHAnsi" w:hAnsiTheme="minorHAnsi" w:cstheme="minorHAnsi"/>
          <w:sz w:val="24"/>
          <w:szCs w:val="24"/>
        </w:rPr>
        <w:t xml:space="preserve">Medical at </w:t>
      </w:r>
      <w:r>
        <w:rPr>
          <w:rFonts w:asciiTheme="minorHAnsi" w:hAnsiTheme="minorHAnsi" w:cstheme="minorHAnsi"/>
          <w:sz w:val="24"/>
          <w:szCs w:val="24"/>
        </w:rPr>
        <w:t>37</w:t>
      </w:r>
      <w:r w:rsidRPr="00B45108">
        <w:rPr>
          <w:rFonts w:asciiTheme="minorHAnsi" w:hAnsiTheme="minorHAnsi" w:cstheme="minorHAnsi"/>
          <w:sz w:val="24"/>
          <w:szCs w:val="24"/>
        </w:rPr>
        <w:t>% of effective salary, Pension at 8.5% of effective salary; Short Term Disability at .5% of effective salary and Long Term Disability and death at 1% of effective salary</w:t>
      </w:r>
      <w:r w:rsidRPr="00B45108">
        <w:rPr>
          <w:rFonts w:asciiTheme="minorHAnsi" w:hAnsiTheme="minorHAnsi" w:cstheme="minorHAnsi"/>
          <w:b/>
          <w:bCs/>
          <w:sz w:val="24"/>
          <w:szCs w:val="24"/>
        </w:rPr>
        <w:t>.</w:t>
      </w:r>
    </w:p>
    <w:p w14:paraId="58386871" w14:textId="77777777" w:rsidR="007F7C9B" w:rsidRPr="00B45108" w:rsidRDefault="007F7C9B" w:rsidP="007F7C9B">
      <w:pPr>
        <w:pStyle w:val="FootnoteText"/>
        <w:rPr>
          <w:rFonts w:asciiTheme="minorHAnsi" w:hAnsiTheme="minorHAnsi" w:cstheme="minorHAnsi"/>
          <w:sz w:val="24"/>
          <w:szCs w:val="24"/>
        </w:rPr>
      </w:pPr>
    </w:p>
    <w:bookmarkEnd w:id="0"/>
    <w:p w14:paraId="070B976A" w14:textId="77777777" w:rsidR="007F7C9B" w:rsidRPr="00B45108" w:rsidRDefault="007F7C9B" w:rsidP="007F7C9B">
      <w:pPr>
        <w:pStyle w:val="FootnoteText"/>
        <w:numPr>
          <w:ilvl w:val="0"/>
          <w:numId w:val="1"/>
        </w:numPr>
        <w:rPr>
          <w:rFonts w:asciiTheme="minorHAnsi" w:hAnsiTheme="minorHAnsi" w:cstheme="minorHAnsi"/>
          <w:sz w:val="24"/>
          <w:szCs w:val="24"/>
        </w:rPr>
      </w:pPr>
      <w:r w:rsidRPr="00B45108">
        <w:rPr>
          <w:rFonts w:asciiTheme="minorHAnsi" w:hAnsiTheme="minorHAnsi" w:cstheme="minorHAnsi"/>
          <w:b/>
          <w:bCs/>
          <w:sz w:val="24"/>
          <w:szCs w:val="24"/>
        </w:rPr>
        <w:t>Continuing Education-</w:t>
      </w:r>
      <w:r w:rsidRPr="00B45108">
        <w:rPr>
          <w:rFonts w:asciiTheme="minorHAnsi" w:hAnsiTheme="minorHAnsi" w:cstheme="minorHAnsi"/>
          <w:sz w:val="24"/>
          <w:szCs w:val="24"/>
        </w:rPr>
        <w:t xml:space="preserve"> Expenses for continuing education would include books, periodicals, training events to maintain competence and to develop and grow in skills for the current ministry. These expenses are vouchered as a part of an accountable reimbursement plan.</w:t>
      </w:r>
    </w:p>
    <w:p w14:paraId="62BC613F" w14:textId="77777777" w:rsidR="007F7C9B" w:rsidRPr="00B45108" w:rsidRDefault="007F7C9B" w:rsidP="007F7C9B">
      <w:pPr>
        <w:pStyle w:val="ListParagraph"/>
        <w:rPr>
          <w:rFonts w:cstheme="minorHAnsi"/>
          <w:sz w:val="24"/>
          <w:szCs w:val="24"/>
        </w:rPr>
      </w:pPr>
    </w:p>
    <w:p w14:paraId="6FEBA060" w14:textId="523C89A1" w:rsidR="007F7C9B" w:rsidRDefault="007F7C9B" w:rsidP="007F7C9B">
      <w:pPr>
        <w:pStyle w:val="FootnoteText"/>
        <w:numPr>
          <w:ilvl w:val="0"/>
          <w:numId w:val="1"/>
        </w:numPr>
        <w:rPr>
          <w:rFonts w:asciiTheme="minorHAnsi" w:hAnsiTheme="minorHAnsi" w:cstheme="minorHAnsi"/>
          <w:sz w:val="24"/>
          <w:szCs w:val="24"/>
        </w:rPr>
      </w:pPr>
      <w:r w:rsidRPr="007661F8">
        <w:rPr>
          <w:rFonts w:asciiTheme="minorHAnsi" w:hAnsiTheme="minorHAnsi" w:cstheme="minorHAnsi"/>
          <w:b/>
          <w:bCs/>
          <w:sz w:val="24"/>
          <w:szCs w:val="24"/>
        </w:rPr>
        <w:t>Travel Expenses</w:t>
      </w:r>
      <w:r w:rsidRPr="007661F8">
        <w:rPr>
          <w:rFonts w:asciiTheme="minorHAnsi" w:hAnsiTheme="minorHAnsi" w:cstheme="minorHAnsi"/>
          <w:sz w:val="24"/>
          <w:szCs w:val="24"/>
        </w:rPr>
        <w:t>-Mileage reimbursement is paid at the IRS Business Mileage reimbursement rate for the year.  The 202</w:t>
      </w:r>
      <w:r w:rsidR="009A1B86">
        <w:rPr>
          <w:rFonts w:asciiTheme="minorHAnsi" w:hAnsiTheme="minorHAnsi" w:cstheme="minorHAnsi"/>
          <w:sz w:val="24"/>
          <w:szCs w:val="24"/>
        </w:rPr>
        <w:t>6</w:t>
      </w:r>
      <w:r w:rsidRPr="007661F8">
        <w:rPr>
          <w:rFonts w:asciiTheme="minorHAnsi" w:hAnsiTheme="minorHAnsi" w:cstheme="minorHAnsi"/>
          <w:sz w:val="24"/>
          <w:szCs w:val="24"/>
        </w:rPr>
        <w:t xml:space="preserve"> rate is set by the IRS in mid-December.  The 202</w:t>
      </w:r>
      <w:r w:rsidR="009A1B86">
        <w:rPr>
          <w:rFonts w:asciiTheme="minorHAnsi" w:hAnsiTheme="minorHAnsi" w:cstheme="minorHAnsi"/>
          <w:sz w:val="24"/>
          <w:szCs w:val="24"/>
        </w:rPr>
        <w:t>5</w:t>
      </w:r>
      <w:r w:rsidRPr="007661F8">
        <w:rPr>
          <w:rFonts w:asciiTheme="minorHAnsi" w:hAnsiTheme="minorHAnsi" w:cstheme="minorHAnsi"/>
          <w:sz w:val="24"/>
          <w:szCs w:val="24"/>
        </w:rPr>
        <w:t xml:space="preserve"> rate is </w:t>
      </w:r>
      <w:r w:rsidR="009A1B86">
        <w:rPr>
          <w:rFonts w:asciiTheme="minorHAnsi" w:hAnsiTheme="minorHAnsi" w:cstheme="minorHAnsi"/>
          <w:sz w:val="24"/>
          <w:szCs w:val="24"/>
        </w:rPr>
        <w:t>70</w:t>
      </w:r>
      <w:r w:rsidRPr="007661F8">
        <w:rPr>
          <w:rFonts w:asciiTheme="minorHAnsi" w:hAnsiTheme="minorHAnsi" w:cstheme="minorHAnsi"/>
          <w:sz w:val="24"/>
          <w:szCs w:val="24"/>
        </w:rPr>
        <w:t xml:space="preserve"> cents.  </w:t>
      </w:r>
    </w:p>
    <w:p w14:paraId="3D7471B2" w14:textId="77777777" w:rsidR="007F7C9B" w:rsidRPr="007661F8" w:rsidRDefault="007F7C9B" w:rsidP="007F7C9B">
      <w:pPr>
        <w:pStyle w:val="FootnoteText"/>
        <w:rPr>
          <w:rFonts w:asciiTheme="minorHAnsi" w:hAnsiTheme="minorHAnsi" w:cstheme="minorHAnsi"/>
          <w:sz w:val="24"/>
          <w:szCs w:val="24"/>
        </w:rPr>
      </w:pPr>
    </w:p>
    <w:p w14:paraId="373A8604" w14:textId="77777777" w:rsidR="007F7C9B" w:rsidRDefault="007F7C9B" w:rsidP="007F7C9B">
      <w:pPr>
        <w:pStyle w:val="NoSpacing"/>
        <w:numPr>
          <w:ilvl w:val="0"/>
          <w:numId w:val="1"/>
        </w:numPr>
        <w:rPr>
          <w:rFonts w:cstheme="minorHAnsi"/>
          <w:sz w:val="24"/>
          <w:szCs w:val="24"/>
        </w:rPr>
      </w:pPr>
      <w:r w:rsidRPr="00B45108">
        <w:rPr>
          <w:rFonts w:cstheme="minorHAnsi"/>
          <w:b/>
          <w:bCs/>
          <w:sz w:val="24"/>
          <w:szCs w:val="24"/>
        </w:rPr>
        <w:t>Paid Study Leave</w:t>
      </w:r>
      <w:r w:rsidRPr="00B45108">
        <w:rPr>
          <w:rFonts w:cstheme="minorHAnsi"/>
          <w:sz w:val="24"/>
          <w:szCs w:val="24"/>
        </w:rPr>
        <w:t>- Paid continuing education leave is provided to the minister.  The Presbytery Minimum Terms of Call require two weeks paid continuing education leave.</w:t>
      </w:r>
    </w:p>
    <w:p w14:paraId="5B3424D0" w14:textId="77777777" w:rsidR="007F7C9B" w:rsidRPr="00B45108" w:rsidRDefault="007F7C9B" w:rsidP="007F7C9B">
      <w:pPr>
        <w:pStyle w:val="NoSpacing"/>
        <w:ind w:left="720"/>
        <w:rPr>
          <w:rFonts w:cstheme="minorHAnsi"/>
          <w:sz w:val="24"/>
          <w:szCs w:val="24"/>
        </w:rPr>
      </w:pPr>
    </w:p>
    <w:p w14:paraId="7A7525D6" w14:textId="77777777" w:rsidR="007F7C9B" w:rsidRDefault="007F7C9B" w:rsidP="007F7C9B">
      <w:pPr>
        <w:pStyle w:val="NoSpacing"/>
        <w:numPr>
          <w:ilvl w:val="0"/>
          <w:numId w:val="1"/>
        </w:numPr>
        <w:rPr>
          <w:rFonts w:cstheme="minorHAnsi"/>
          <w:sz w:val="24"/>
          <w:szCs w:val="24"/>
        </w:rPr>
      </w:pPr>
      <w:r w:rsidRPr="00B45108">
        <w:rPr>
          <w:rFonts w:cstheme="minorHAnsi"/>
          <w:b/>
          <w:bCs/>
          <w:sz w:val="24"/>
          <w:szCs w:val="24"/>
        </w:rPr>
        <w:t>Paid Vacation Leave</w:t>
      </w:r>
      <w:r w:rsidRPr="00B45108">
        <w:rPr>
          <w:rFonts w:cstheme="minorHAnsi"/>
          <w:sz w:val="24"/>
          <w:szCs w:val="24"/>
        </w:rPr>
        <w:t xml:space="preserve">- Paid vacation is provided to the minister.  The Presbytery’s Minimum Terms of Call require four </w:t>
      </w:r>
      <w:proofErr w:type="gramStart"/>
      <w:r w:rsidRPr="00B45108">
        <w:rPr>
          <w:rFonts w:cstheme="minorHAnsi"/>
          <w:sz w:val="24"/>
          <w:szCs w:val="24"/>
        </w:rPr>
        <w:t>weeks</w:t>
      </w:r>
      <w:proofErr w:type="gramEnd"/>
      <w:r w:rsidRPr="00B45108">
        <w:rPr>
          <w:rFonts w:cstheme="minorHAnsi"/>
          <w:sz w:val="24"/>
          <w:szCs w:val="24"/>
        </w:rPr>
        <w:t xml:space="preserve"> paid vacation.</w:t>
      </w:r>
    </w:p>
    <w:p w14:paraId="7B39809E" w14:textId="77777777" w:rsidR="007F7C9B" w:rsidRPr="00B45108" w:rsidRDefault="007F7C9B" w:rsidP="007F7C9B">
      <w:pPr>
        <w:pStyle w:val="NoSpacing"/>
        <w:rPr>
          <w:rFonts w:cstheme="minorHAnsi"/>
          <w:sz w:val="24"/>
          <w:szCs w:val="24"/>
        </w:rPr>
      </w:pPr>
    </w:p>
    <w:p w14:paraId="68083398" w14:textId="388EC7F5" w:rsidR="007F7C9B" w:rsidRDefault="007F7C9B" w:rsidP="007F7C9B">
      <w:pPr>
        <w:pStyle w:val="NoSpacing"/>
        <w:numPr>
          <w:ilvl w:val="0"/>
          <w:numId w:val="1"/>
        </w:numPr>
        <w:rPr>
          <w:rFonts w:cstheme="minorHAnsi"/>
          <w:sz w:val="24"/>
          <w:szCs w:val="24"/>
        </w:rPr>
      </w:pPr>
      <w:r w:rsidRPr="00B45108">
        <w:rPr>
          <w:rFonts w:cstheme="minorHAnsi"/>
          <w:b/>
          <w:bCs/>
          <w:sz w:val="24"/>
          <w:szCs w:val="24"/>
        </w:rPr>
        <w:t>Moving Expenses</w:t>
      </w:r>
      <w:r w:rsidRPr="00B45108">
        <w:rPr>
          <w:rFonts w:cstheme="minorHAnsi"/>
          <w:sz w:val="24"/>
          <w:szCs w:val="24"/>
        </w:rPr>
        <w:t xml:space="preserve">- The cost of moving the minister is provided by the church issuing the call.  </w:t>
      </w:r>
      <w:r w:rsidRPr="00B45108">
        <w:rPr>
          <w:rFonts w:cstheme="minorHAnsi"/>
          <w:b/>
          <w:bCs/>
          <w:sz w:val="24"/>
          <w:szCs w:val="24"/>
        </w:rPr>
        <w:t>Moving expense</w:t>
      </w:r>
      <w:r>
        <w:rPr>
          <w:rFonts w:cstheme="minorHAnsi"/>
          <w:b/>
          <w:bCs/>
          <w:sz w:val="24"/>
          <w:szCs w:val="24"/>
        </w:rPr>
        <w:t>s</w:t>
      </w:r>
      <w:r w:rsidRPr="00B45108">
        <w:rPr>
          <w:rFonts w:cstheme="minorHAnsi"/>
          <w:b/>
          <w:bCs/>
          <w:sz w:val="24"/>
          <w:szCs w:val="24"/>
        </w:rPr>
        <w:t xml:space="preserve"> must be reported on the minister’s W-2 in box 1 as income</w:t>
      </w:r>
      <w:r w:rsidRPr="00B45108">
        <w:rPr>
          <w:rFonts w:cstheme="minorHAnsi"/>
          <w:sz w:val="24"/>
          <w:szCs w:val="24"/>
        </w:rPr>
        <w:t>.  The moving expenses are not included as part of the effective salary for Board of Pensions dues</w:t>
      </w:r>
      <w:r>
        <w:rPr>
          <w:rFonts w:cstheme="minorHAnsi"/>
          <w:sz w:val="24"/>
          <w:szCs w:val="24"/>
        </w:rPr>
        <w:t>.</w:t>
      </w:r>
    </w:p>
    <w:p w14:paraId="1DB03459" w14:textId="77777777" w:rsidR="007F7C9B" w:rsidRPr="00B45108" w:rsidRDefault="007F7C9B" w:rsidP="007F7C9B">
      <w:pPr>
        <w:pStyle w:val="NoSpacing"/>
        <w:ind w:left="720"/>
        <w:rPr>
          <w:rFonts w:cstheme="minorHAnsi"/>
          <w:sz w:val="24"/>
          <w:szCs w:val="24"/>
        </w:rPr>
      </w:pPr>
    </w:p>
    <w:p w14:paraId="0BD503EA" w14:textId="77777777" w:rsidR="007F7C9B" w:rsidRDefault="007F7C9B" w:rsidP="007F7C9B">
      <w:pPr>
        <w:pStyle w:val="NoSpacing"/>
        <w:numPr>
          <w:ilvl w:val="0"/>
          <w:numId w:val="1"/>
        </w:numPr>
        <w:rPr>
          <w:rFonts w:cstheme="minorHAnsi"/>
          <w:sz w:val="24"/>
          <w:szCs w:val="24"/>
        </w:rPr>
      </w:pPr>
      <w:r w:rsidRPr="00B45108">
        <w:rPr>
          <w:rFonts w:cstheme="minorHAnsi"/>
          <w:b/>
          <w:bCs/>
          <w:sz w:val="24"/>
          <w:szCs w:val="24"/>
        </w:rPr>
        <w:lastRenderedPageBreak/>
        <w:t>Sabbatical Leave</w:t>
      </w:r>
      <w:r w:rsidRPr="00B45108">
        <w:rPr>
          <w:rFonts w:cstheme="minorHAnsi"/>
          <w:sz w:val="24"/>
          <w:szCs w:val="24"/>
        </w:rPr>
        <w:t>- It is recommended that churches give pastors who have completed six years of credited service in one ministry within the Presbytery of the Peaks a compensated Sabbatical Leave of no less than two months. The full Sabbatical Leave policy is on the Presbytery of the Peaks website: (</w:t>
      </w:r>
      <w:hyperlink r:id="rId6" w:history="1">
        <w:r w:rsidRPr="00F77CF0">
          <w:rPr>
            <w:rStyle w:val="Hyperlink"/>
            <w:rFonts w:cstheme="minorHAnsi"/>
            <w:sz w:val="24"/>
            <w:szCs w:val="24"/>
          </w:rPr>
          <w:t>https://www.peakspresbytery.org/wp-content/uploads/2013/02/Sabbatical-Leave-Policy.pdf</w:t>
        </w:r>
      </w:hyperlink>
      <w:r w:rsidRPr="00B45108">
        <w:rPr>
          <w:rFonts w:cstheme="minorHAnsi"/>
          <w:sz w:val="24"/>
          <w:szCs w:val="24"/>
        </w:rPr>
        <w:t>)</w:t>
      </w:r>
    </w:p>
    <w:p w14:paraId="0603E9B9" w14:textId="77777777" w:rsidR="007F7C9B" w:rsidRPr="00B45108" w:rsidRDefault="007F7C9B" w:rsidP="007F7C9B">
      <w:pPr>
        <w:pStyle w:val="NoSpacing"/>
        <w:rPr>
          <w:rFonts w:cstheme="minorHAnsi"/>
          <w:sz w:val="24"/>
          <w:szCs w:val="24"/>
        </w:rPr>
      </w:pPr>
    </w:p>
    <w:p w14:paraId="5F2A1D25" w14:textId="12326BB4" w:rsidR="007F7C9B" w:rsidRDefault="007F7C9B" w:rsidP="007F7C9B">
      <w:pPr>
        <w:pStyle w:val="NoSpacing"/>
        <w:numPr>
          <w:ilvl w:val="0"/>
          <w:numId w:val="1"/>
        </w:numPr>
        <w:rPr>
          <w:rFonts w:cstheme="minorHAnsi"/>
          <w:sz w:val="24"/>
          <w:szCs w:val="24"/>
        </w:rPr>
      </w:pPr>
      <w:r w:rsidRPr="00B45108">
        <w:rPr>
          <w:rFonts w:cstheme="minorHAnsi"/>
          <w:b/>
          <w:bCs/>
          <w:sz w:val="24"/>
          <w:szCs w:val="24"/>
        </w:rPr>
        <w:t>Family Leave</w:t>
      </w:r>
      <w:r w:rsidRPr="00B45108">
        <w:rPr>
          <w:rFonts w:cstheme="minorHAnsi"/>
          <w:sz w:val="24"/>
          <w:szCs w:val="24"/>
        </w:rPr>
        <w:t xml:space="preserve">- </w:t>
      </w:r>
      <w:r>
        <w:rPr>
          <w:rFonts w:cstheme="minorHAnsi"/>
          <w:sz w:val="24"/>
          <w:szCs w:val="24"/>
        </w:rPr>
        <w:t>The minimum terms of call shall include provision for twelve weeks paid parental leave following the birth or adoption of a child.</w:t>
      </w:r>
    </w:p>
    <w:p w14:paraId="6DAD0475" w14:textId="77777777" w:rsidR="007F7C9B" w:rsidRDefault="007F7C9B" w:rsidP="007F7C9B">
      <w:pPr>
        <w:pStyle w:val="NoSpacing"/>
        <w:ind w:left="720"/>
        <w:rPr>
          <w:rFonts w:cstheme="minorHAnsi"/>
          <w:b/>
          <w:bCs/>
          <w:sz w:val="24"/>
          <w:szCs w:val="24"/>
        </w:rPr>
      </w:pPr>
    </w:p>
    <w:p w14:paraId="2190EB8D" w14:textId="77777777" w:rsidR="007F7C9B" w:rsidRPr="00DE1FFD" w:rsidRDefault="007F7C9B" w:rsidP="007F7C9B">
      <w:pPr>
        <w:pStyle w:val="NoSpacing"/>
        <w:ind w:left="720"/>
        <w:rPr>
          <w:rFonts w:cstheme="minorHAnsi"/>
          <w:sz w:val="24"/>
          <w:szCs w:val="24"/>
        </w:rPr>
      </w:pPr>
      <w:r w:rsidRPr="00DE1FFD">
        <w:rPr>
          <w:rFonts w:cstheme="minorHAnsi"/>
          <w:sz w:val="24"/>
          <w:szCs w:val="24"/>
        </w:rPr>
        <w:t>Parental leave may</w:t>
      </w:r>
      <w:r>
        <w:rPr>
          <w:rFonts w:cstheme="minorHAnsi"/>
          <w:sz w:val="24"/>
          <w:szCs w:val="24"/>
        </w:rPr>
        <w:t xml:space="preserve"> be used consecutively or intermittently.  During parental leave, the pastor will continue to receive all benefits in their terms of call, including dues paid to and benefits provided by the Board of Pensions.  The use of vacation time is not required but may be used to extend leave time at the discretion of the pastor.  Following parental leave, the pastor shall be entitled to return to the same position with the same title, terms of call, hours worked and job description.</w:t>
      </w:r>
    </w:p>
    <w:p w14:paraId="4FA93B31" w14:textId="77777777" w:rsidR="007F7C9B" w:rsidRPr="00B45108" w:rsidRDefault="007F7C9B" w:rsidP="007F7C9B">
      <w:pPr>
        <w:pStyle w:val="NoSpacing"/>
        <w:rPr>
          <w:rFonts w:cstheme="minorHAnsi"/>
          <w:sz w:val="24"/>
          <w:szCs w:val="24"/>
        </w:rPr>
      </w:pPr>
    </w:p>
    <w:p w14:paraId="2A509EC5" w14:textId="77777777" w:rsidR="007F7C9B" w:rsidRPr="00B45108" w:rsidRDefault="007F7C9B" w:rsidP="007F7C9B">
      <w:pPr>
        <w:rPr>
          <w:rFonts w:cstheme="minorHAnsi"/>
          <w:sz w:val="24"/>
          <w:szCs w:val="24"/>
        </w:rPr>
      </w:pPr>
      <w:r w:rsidRPr="00B45108">
        <w:rPr>
          <w:rFonts w:cstheme="minorHAnsi"/>
          <w:sz w:val="24"/>
          <w:szCs w:val="24"/>
        </w:rPr>
        <w:br w:type="page"/>
      </w:r>
    </w:p>
    <w:p w14:paraId="1BDC1C78" w14:textId="77777777" w:rsidR="00A414F0" w:rsidRDefault="00A414F0"/>
    <w:sectPr w:rsidR="00A41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03074"/>
    <w:multiLevelType w:val="hybridMultilevel"/>
    <w:tmpl w:val="B53C3CEE"/>
    <w:lvl w:ilvl="0" w:tplc="077A1D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9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9B"/>
    <w:rsid w:val="00035DD4"/>
    <w:rsid w:val="0039362C"/>
    <w:rsid w:val="004177F9"/>
    <w:rsid w:val="00611899"/>
    <w:rsid w:val="007C66ED"/>
    <w:rsid w:val="007F7C9B"/>
    <w:rsid w:val="008F0CEE"/>
    <w:rsid w:val="009A1B86"/>
    <w:rsid w:val="00A414F0"/>
    <w:rsid w:val="00AB6195"/>
    <w:rsid w:val="00C6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39B4"/>
  <w15:chartTrackingRefBased/>
  <w15:docId w15:val="{F32E2C09-3A1D-43BF-85D3-65DCED69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9B"/>
    <w:rPr>
      <w:rFonts w:asciiTheme="minorHAnsi" w:hAnsiTheme="minorHAnsi"/>
      <w:kern w:val="0"/>
      <w14:ligatures w14:val="none"/>
    </w:rPr>
  </w:style>
  <w:style w:type="paragraph" w:styleId="Heading1">
    <w:name w:val="heading 1"/>
    <w:basedOn w:val="Normal"/>
    <w:next w:val="Normal"/>
    <w:link w:val="Heading1Char"/>
    <w:uiPriority w:val="9"/>
    <w:qFormat/>
    <w:rsid w:val="007F7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C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C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7C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7C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7C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7C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7C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7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C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7C9B"/>
    <w:pPr>
      <w:spacing w:before="160"/>
      <w:jc w:val="center"/>
    </w:pPr>
    <w:rPr>
      <w:i/>
      <w:iCs/>
      <w:color w:val="404040" w:themeColor="text1" w:themeTint="BF"/>
    </w:rPr>
  </w:style>
  <w:style w:type="character" w:customStyle="1" w:styleId="QuoteChar">
    <w:name w:val="Quote Char"/>
    <w:basedOn w:val="DefaultParagraphFont"/>
    <w:link w:val="Quote"/>
    <w:uiPriority w:val="29"/>
    <w:rsid w:val="007F7C9B"/>
    <w:rPr>
      <w:i/>
      <w:iCs/>
      <w:color w:val="404040" w:themeColor="text1" w:themeTint="BF"/>
    </w:rPr>
  </w:style>
  <w:style w:type="paragraph" w:styleId="ListParagraph">
    <w:name w:val="List Paragraph"/>
    <w:basedOn w:val="Normal"/>
    <w:uiPriority w:val="34"/>
    <w:qFormat/>
    <w:rsid w:val="007F7C9B"/>
    <w:pPr>
      <w:ind w:left="720"/>
      <w:contextualSpacing/>
    </w:pPr>
  </w:style>
  <w:style w:type="character" w:styleId="IntenseEmphasis">
    <w:name w:val="Intense Emphasis"/>
    <w:basedOn w:val="DefaultParagraphFont"/>
    <w:uiPriority w:val="21"/>
    <w:qFormat/>
    <w:rsid w:val="007F7C9B"/>
    <w:rPr>
      <w:i/>
      <w:iCs/>
      <w:color w:val="0F4761" w:themeColor="accent1" w:themeShade="BF"/>
    </w:rPr>
  </w:style>
  <w:style w:type="paragraph" w:styleId="IntenseQuote">
    <w:name w:val="Intense Quote"/>
    <w:basedOn w:val="Normal"/>
    <w:next w:val="Normal"/>
    <w:link w:val="IntenseQuoteChar"/>
    <w:uiPriority w:val="30"/>
    <w:qFormat/>
    <w:rsid w:val="007F7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C9B"/>
    <w:rPr>
      <w:i/>
      <w:iCs/>
      <w:color w:val="0F4761" w:themeColor="accent1" w:themeShade="BF"/>
    </w:rPr>
  </w:style>
  <w:style w:type="character" w:styleId="IntenseReference">
    <w:name w:val="Intense Reference"/>
    <w:basedOn w:val="DefaultParagraphFont"/>
    <w:uiPriority w:val="32"/>
    <w:qFormat/>
    <w:rsid w:val="007F7C9B"/>
    <w:rPr>
      <w:b/>
      <w:bCs/>
      <w:smallCaps/>
      <w:color w:val="0F4761" w:themeColor="accent1" w:themeShade="BF"/>
      <w:spacing w:val="5"/>
    </w:rPr>
  </w:style>
  <w:style w:type="paragraph" w:styleId="NoSpacing">
    <w:name w:val="No Spacing"/>
    <w:uiPriority w:val="1"/>
    <w:qFormat/>
    <w:rsid w:val="007F7C9B"/>
    <w:pPr>
      <w:spacing w:after="0" w:line="240" w:lineRule="auto"/>
    </w:pPr>
    <w:rPr>
      <w:rFonts w:asciiTheme="minorHAnsi" w:hAnsiTheme="minorHAnsi"/>
      <w:kern w:val="0"/>
      <w14:ligatures w14:val="none"/>
    </w:rPr>
  </w:style>
  <w:style w:type="paragraph" w:styleId="FootnoteText">
    <w:name w:val="footnote text"/>
    <w:basedOn w:val="Normal"/>
    <w:link w:val="FootnoteTextChar"/>
    <w:uiPriority w:val="99"/>
    <w:unhideWhenUsed/>
    <w:rsid w:val="007F7C9B"/>
    <w:pPr>
      <w:spacing w:after="0" w:line="240" w:lineRule="auto"/>
    </w:pPr>
    <w:rPr>
      <w:rFonts w:ascii="CG Times" w:eastAsia="Times New Roman" w:hAnsi="CG Times" w:cs="Times New Roman"/>
      <w:noProof/>
      <w:sz w:val="20"/>
      <w:szCs w:val="20"/>
    </w:rPr>
  </w:style>
  <w:style w:type="character" w:customStyle="1" w:styleId="FootnoteTextChar">
    <w:name w:val="Footnote Text Char"/>
    <w:basedOn w:val="DefaultParagraphFont"/>
    <w:link w:val="FootnoteText"/>
    <w:uiPriority w:val="99"/>
    <w:rsid w:val="007F7C9B"/>
    <w:rPr>
      <w:rFonts w:ascii="CG Times" w:eastAsia="Times New Roman" w:hAnsi="CG Times" w:cs="Times New Roman"/>
      <w:noProof/>
      <w:kern w:val="0"/>
      <w:sz w:val="20"/>
      <w:szCs w:val="20"/>
      <w14:ligatures w14:val="none"/>
    </w:rPr>
  </w:style>
  <w:style w:type="character" w:styleId="Hyperlink">
    <w:name w:val="Hyperlink"/>
    <w:basedOn w:val="DefaultParagraphFont"/>
    <w:uiPriority w:val="99"/>
    <w:unhideWhenUsed/>
    <w:rsid w:val="007F7C9B"/>
    <w:rPr>
      <w:color w:val="467886" w:themeColor="hyperlink"/>
      <w:u w:val="single"/>
    </w:rPr>
  </w:style>
  <w:style w:type="character" w:styleId="UnresolvedMention">
    <w:name w:val="Unresolved Mention"/>
    <w:basedOn w:val="DefaultParagraphFont"/>
    <w:uiPriority w:val="99"/>
    <w:semiHidden/>
    <w:unhideWhenUsed/>
    <w:rsid w:val="009A1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akspresbytery.org/wp-content/uploads/2013/02/Sabbatical-Leave-Policy.pdf" TargetMode="External"/><Relationship Id="rId5" Type="http://schemas.openxmlformats.org/officeDocument/2006/relationships/hyperlink" Target="http://www.pensio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Dyke</dc:creator>
  <cp:keywords/>
  <dc:description/>
  <cp:lastModifiedBy>Julie Dyke</cp:lastModifiedBy>
  <cp:revision>4</cp:revision>
  <dcterms:created xsi:type="dcterms:W3CDTF">2025-08-13T12:58:00Z</dcterms:created>
  <dcterms:modified xsi:type="dcterms:W3CDTF">2025-08-27T15:05:00Z</dcterms:modified>
</cp:coreProperties>
</file>